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</w:pPr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7.9.</w:t>
      </w:r>
      <w:r w:rsidR="004101EE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Проверка</w:t>
      </w:r>
      <w:r w:rsidR="004101EE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 xml:space="preserve">  </w:t>
      </w:r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гипотезы</w:t>
      </w:r>
      <w:proofErr w:type="gramEnd"/>
      <w:r w:rsidR="004101EE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 xml:space="preserve">  </w:t>
      </w:r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о</w:t>
      </w:r>
      <w:r w:rsidR="004101EE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 xml:space="preserve">  </w:t>
      </w:r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законе</w:t>
      </w:r>
      <w:r w:rsidR="004101EE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 xml:space="preserve">  </w:t>
      </w:r>
      <w:r w:rsidRPr="00D52E19">
        <w:rPr>
          <w:rFonts w:ascii="Tahoma" w:eastAsia="Times New Roman" w:hAnsi="Tahoma" w:cs="Tahoma"/>
          <w:b/>
          <w:bCs/>
          <w:color w:val="333366"/>
          <w:kern w:val="36"/>
          <w:sz w:val="48"/>
          <w:szCs w:val="48"/>
          <w:lang w:eastAsia="ru-RU"/>
        </w:rPr>
        <w:t>распределения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важнейших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задач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анализа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заключается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выявлениизакономерности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определении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характера.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Основной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путь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выявлениизакономерности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построение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достаточно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со-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вокупностей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выявления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закономерностей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имеетправильное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построение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самого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выбор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групп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размера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интервалаварьирующего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признака.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Когда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мы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говорим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характере,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типе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закономерности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виду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отражениев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общих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условий,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определяющих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вариацию.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этом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речь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всегда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идет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качественно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однородных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явлений.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Общие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условия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определяющие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тип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закономерностираспределения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познаются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анализом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сущности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явления,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свойств,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которые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определяют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изучаемого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признака.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Следовательно,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должна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выдвинута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какая-то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научнаягипотеза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обосновывающая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определенный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тип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теоретической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понимается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графическое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изображение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виде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непрерывной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линии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изменения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ряду,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функционально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связанного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сизменением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вариантов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(значений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признака).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выражено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аналитически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формулой,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которая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связывает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соответствующие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признака.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алгебраические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носят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название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познавательное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сопоставление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теоретическими.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уже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отмечалось,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пользуются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типом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которое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называется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нормальным.Формула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функции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плотности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592580" cy="495300"/>
            <wp:effectExtent l="0" t="0" r="7620" b="0"/>
            <wp:docPr id="10" name="Рисунок 10" descr="http://www.stathelp.ru/ots/img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help.ru/ots/img3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Следовательно,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кривая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построена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двум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параметрам-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средней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арифметической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ц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среднему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квадратическому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отклонению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заключаются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выдвигается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предположение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чтораспределение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генеральной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совокупности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подчиняется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какому-то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определенному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закону.Проверка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состоит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чтобы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основании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(эмпирических)частот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предполагаемыми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(теоретическими)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сделать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вывод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соответствиифактического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гипотетическому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распределению.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проводиться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сравнениечастостей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гипотетическим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необязательно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понимается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распределение.Может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выдвинута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биномиальном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распределении,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Пуассона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т.д.Причина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обращения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типе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выражается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закономерность,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возникающая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взаимодействии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множестваслучайных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причин,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когда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преобладающего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влияния.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нормальногораспределения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лежит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основе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многих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математической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статистики,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применяемых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дляоценки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репрезентативности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выборок,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измерении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социально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экономическойстатистике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встречается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редко,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длявыяснения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характера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главе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отмечалось,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близость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средней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арифметической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величины,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медианы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модыуказывает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изучаемого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болееполная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точная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проверка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законепроизводится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использованием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специальных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критериев,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которых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рассмотрим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наиболееупотребимый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критерий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(хи-квадрат)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Пирсона.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проверки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нормальногораспределения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необходимо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(частости)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сравнить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счастотами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частостями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lastRenderedPageBreak/>
        <w:t>распределения.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Значит,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нужно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даннымвычислить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f?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длядискретных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рядов):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973580" cy="464820"/>
            <wp:effectExtent l="0" t="0" r="7620" b="0"/>
            <wp:docPr id="9" name="Рисунок 9" descr="http://www.stathelp.ru/ots/img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thelp.ru/ots/img3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                    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(7.27)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где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объем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выборки;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i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величина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вариационного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ординат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кривой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f(t)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получить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таблицамзначения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функции: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257300" cy="464820"/>
            <wp:effectExtent l="0" t="0" r="0" b="0"/>
            <wp:docPr id="8" name="Рисунок 8" descr="http://www.stathelp.ru/ots/img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thelp.ru/ots/img3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Проверяемая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гипотеза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формулируется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Н0: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fj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f?j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альтернаивная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Н1: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fj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?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f?j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proofErr w:type="gramEnd"/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Проверка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требует,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чтобы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был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построен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частотамиf?j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соответствующими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же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значениях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516380" cy="304800"/>
            <wp:effectExtent l="0" t="0" r="7620" b="0"/>
            <wp:docPr id="7" name="Рисунок 7" descr="http://www.stathelp.ru/ots/img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athelp.ru/ots/img3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Методика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построения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такова: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фактическому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(табл.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5.6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вычисляются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/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каждойгруппь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&lt;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хозяйств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интервальных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рядов):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762000" cy="464820"/>
            <wp:effectExtent l="0" t="0" r="0" b="0"/>
            <wp:docPr id="6" name="Рисунок 6" descr="http://www.stathelp.ru/ots/img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athelp.ru/ots/img3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начала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конца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2.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Вычисляется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попадания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единицы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наблюдения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данный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привыполнении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законе: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485900" cy="487680"/>
            <wp:effectExtent l="0" t="0" r="0" b="7620"/>
            <wp:docPr id="5" name="Рисунок 5" descr="http://www.stathelp.ru/ots/img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athelp.ru/ots/img3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где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|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tj</w:t>
      </w:r>
      <w:proofErr w:type="spellEnd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|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&gt;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|tj+1|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3.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Определяется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теоретическая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группе,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произведению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объемасовокупности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попадания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данный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lastRenderedPageBreak/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952500" cy="464820"/>
            <wp:effectExtent l="0" t="0" r="0" b="0"/>
            <wp:docPr id="4" name="Рисунок 4" descr="http://www.stathelp.ru/ots/img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athelp.ru/ots/img3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4.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Находится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критерия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формуле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982980" cy="609600"/>
            <wp:effectExtent l="0" t="0" r="7620" b="0"/>
            <wp:docPr id="3" name="Рисунок 3" descr="http://www.stathelp.ru/ots/img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athelp.ru/ots/img3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                                                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(7.28)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где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—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категорий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распределения;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j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номер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категории;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fj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распределения;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f?j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расчете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заменить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частостями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: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</w:t>
      </w:r>
      <w:r w:rsidR="00D52E19"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1333500" cy="601980"/>
            <wp:effectExtent l="0" t="0" r="0" b="7620"/>
            <wp:docPr id="2" name="Рисунок 2" descr="http://www.stathelp.ru/ots/img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athelp.ru/ots/img3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                                                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(7.29)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где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pj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распределения;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π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j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этом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согласно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Йейтсу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spellStart"/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Jates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группы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менее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принятообъединять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снижает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влияние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случайных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ошибок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(см.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[6]).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все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соответствующим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частотам,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равнонулю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Очевидно,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отличаются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χ2больше;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расхождение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несущественно,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малым.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Имеются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специальныетаблицы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5%-ном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1%-ном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уровнях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значимости.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Критическиезначения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зависят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d.f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degrees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of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freedom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уровня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значимости.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рассчитывается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kкатегорий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f1,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f2,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…,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fk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связаны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следующимсоотношением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noProof/>
          <w:color w:val="333366"/>
          <w:sz w:val="17"/>
          <w:szCs w:val="17"/>
          <w:lang w:eastAsia="ru-RU"/>
        </w:rPr>
        <w:drawing>
          <wp:inline distT="0" distB="0" distL="0" distR="0">
            <wp:extent cx="678180" cy="449580"/>
            <wp:effectExtent l="0" t="0" r="7620" b="7620"/>
            <wp:docPr id="1" name="Рисунок 1" descr="http://www.stathelp.ru/ots/img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athelp.ru/ots/img38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известны,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тотолько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могут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принимать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произвольные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варьировать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а последняя </w:t>
      </w:r>
      <w:proofErr w:type="gramStart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частота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найдена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указанного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соотношения.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Поэтому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говорят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система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благодаря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наличию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теряет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«степень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свободы»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только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—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Кроме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того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нахождении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рпараметров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неизвестны,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они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найдены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даннымэмпирического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ряда.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накладывает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еще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связей,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благодаря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чемусистема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lastRenderedPageBreak/>
        <w:t>теряет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еще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образом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варьируемых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азначит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становится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равным: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d.f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k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+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1).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                                                                                      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(7.30)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Полученное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критерия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сравнивается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табличным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свободы,равном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групп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условием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Йейтса</w:t>
      </w:r>
      <w:proofErr w:type="spellEnd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минусом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трех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фиксированныхпараметров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формуле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учетом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равенства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суммтеоретических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(см.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приложение,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табл.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4).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первой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графе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таблицы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заголовках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граф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уровнизначимости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Если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фактическое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превышает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табличное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же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степенейсвободы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меньше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указанной.Результаты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расчета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данным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5.6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глава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приведены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7.5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30,3;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s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8,44.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Сумма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теоретических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меньше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суммы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частот,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таккак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нормальный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ограничен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рамками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минимума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максимума.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групп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после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объединения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малочисленных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составило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Критическое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4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приложения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7-3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4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степеням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значимости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0,05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составляет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9,49.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Значит,вероятность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расхождения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нормальным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меньше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0,05,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вероятностьсоответствия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0,95.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Табличное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значимости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0,1равно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7,78,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также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больше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фактического.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Таблица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7.5</w:t>
      </w:r>
      <w:proofErr w:type="gramEnd"/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Проверка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хозяйств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урожайности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зерновых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культур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24"/>
        <w:gridCol w:w="1020"/>
        <w:gridCol w:w="972"/>
        <w:gridCol w:w="1176"/>
        <w:gridCol w:w="840"/>
        <w:gridCol w:w="1500"/>
      </w:tblGrid>
      <w:tr w:rsidR="00D52E19" w:rsidRPr="00D52E19" w:rsidTr="00D52E19">
        <w:trPr>
          <w:trHeight w:val="5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Группы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хозяйств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fj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tj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tj</w:t>
            </w:r>
            <w:proofErr w:type="spell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+</w:t>
            </w:r>
            <w:proofErr w:type="gram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Рj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f?j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(</w:t>
            </w:r>
            <w:proofErr w:type="spellStart"/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fj</w:t>
            </w:r>
            <w:proofErr w:type="spell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</w:t>
            </w:r>
            <w:proofErr w:type="gram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f?j</w:t>
            </w:r>
            <w:proofErr w:type="spellEnd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)2/</w:t>
            </w:r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f??2j</w:t>
            </w:r>
          </w:p>
        </w:tc>
      </w:tr>
      <w:tr w:rsidR="00D52E19" w:rsidRPr="00D52E19" w:rsidTr="00D52E19">
        <w:trPr>
          <w:trHeight w:val="33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-2,41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-1,81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0,0235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0,071</w:t>
            </w:r>
          </w:p>
        </w:tc>
      </w:tr>
      <w:tr w:rsidR="00D52E19" w:rsidRPr="00D52E19" w:rsidTr="00D52E19">
        <w:trPr>
          <w:trHeight w:val="240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-1,81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-1,22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0,0798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</w:tc>
      </w:tr>
      <w:tr w:rsidR="00D52E19" w:rsidRPr="00D52E19" w:rsidTr="00D52E19">
        <w:trPr>
          <w:trHeight w:val="26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20</w:t>
            </w:r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-1,22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-0,63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0,1531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0,182</w:t>
            </w:r>
          </w:p>
        </w:tc>
      </w:tr>
      <w:tr w:rsidR="00D52E19" w:rsidRPr="00D52E19" w:rsidTr="00D52E19">
        <w:trPr>
          <w:trHeight w:val="26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-0,63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-0,04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0,2197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2,531</w:t>
            </w:r>
          </w:p>
        </w:tc>
      </w:tr>
      <w:tr w:rsidR="00D52E19" w:rsidRPr="00D52E19" w:rsidTr="00D52E19">
        <w:trPr>
          <w:trHeight w:val="228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-0,04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0,2282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1,485</w:t>
            </w:r>
          </w:p>
        </w:tc>
      </w:tr>
      <w:tr w:rsidR="00D52E19" w:rsidRPr="00D52E19" w:rsidTr="00D52E19">
        <w:trPr>
          <w:trHeight w:val="276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0,1627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0,174</w:t>
            </w:r>
          </w:p>
        </w:tc>
      </w:tr>
      <w:tr w:rsidR="00D52E19" w:rsidRPr="00D52E19" w:rsidTr="00D52E19">
        <w:trPr>
          <w:trHeight w:val="228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0,0842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0,333</w:t>
            </w:r>
          </w:p>
        </w:tc>
      </w:tr>
      <w:tr w:rsidR="00D52E19" w:rsidRPr="00D52E19" w:rsidTr="00D52E19">
        <w:trPr>
          <w:trHeight w:val="276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2,33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0,200</w:t>
            </w:r>
          </w:p>
        </w:tc>
      </w:tr>
      <w:tr w:rsidR="00D52E19" w:rsidRPr="00D52E19" w:rsidTr="00D52E19">
        <w:trPr>
          <w:trHeight w:val="228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0,0082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</w:tc>
      </w:tr>
      <w:tr w:rsidR="00D52E19" w:rsidRPr="00D52E19" w:rsidTr="00D52E19">
        <w:trPr>
          <w:trHeight w:val="24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0,9904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4,976</w:t>
            </w:r>
          </w:p>
        </w:tc>
      </w:tr>
    </w:tbl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Ясно,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соответствии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хозяйств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урожайности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законуне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отклонена.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практическое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иметь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произведенная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проверка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гипотезы?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Во-</w:t>
      </w:r>
      <w:proofErr w:type="spellStart"/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первых,соответствие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нормальному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позволяет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прогнозировать,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какое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хозяйств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(или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долясовокупности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попадает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интервал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признака.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Во-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вторых,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нормальноераспределение</w:t>
      </w:r>
      <w:proofErr w:type="spellEnd"/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возникает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действии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вариацию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изучаемого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показателя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множестванезависимых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факторов.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этого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следует,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нельзя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существенно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снизить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вариациюурожайности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воздействуя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только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один-два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управляемых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фактора,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скажем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удобрения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илиэнергозатраты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</w:p>
    <w:p w:rsidR="00D52E19" w:rsidRPr="00D52E19" w:rsidRDefault="004101EE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bookmarkStart w:id="0" w:name="_GoBack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помощью </w:t>
      </w:r>
      <w:proofErr w:type="gramStart"/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критерия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</w:t>
      </w:r>
      <w:proofErr w:type="gramEnd"/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2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можно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проверять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только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гипотезу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согласии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эмпирического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нормальным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любым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другим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известным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законом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распределения-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равномерным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распределением,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Пуассона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д.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Например,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суд рассматривает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жалобу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посетителей казино </w:t>
      </w:r>
      <w:proofErr w:type="gramStart"/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на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</w:t>
      </w:r>
      <w:proofErr w:type="gramEnd"/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их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мнению,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игральная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кость,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которой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пользуются, фальшива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некоторые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очков,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якобы,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выпадают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чаще,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чем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другие,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этим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пользуются крупье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обирающие</w:t>
      </w:r>
      <w:r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D52E1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игроков.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lastRenderedPageBreak/>
        <w:t>Суд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назначает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экспертизу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игральной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эксперт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делает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600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бросков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записывает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число выпавших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единиц,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двоек,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троек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Полученное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сравнивается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теоретическим,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равномерным: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proofErr w:type="gramEnd"/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правильной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выпадения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каждого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быть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равна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1/6,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600бросках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даст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100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выпадений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каждого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очков.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помощью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критерия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проверяется нулевая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том,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различия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эмпирического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случайны,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.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е.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являются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систематическим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результатом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фальсификации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формы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или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положенияцентра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тяжести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ней;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H0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fфакт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fтеор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Результаты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испытания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расчет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приводятся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7.6.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Таблица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7.6</w:t>
      </w:r>
      <w:proofErr w:type="gramEnd"/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Результаты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испытания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игральной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</w:t>
      </w: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692"/>
        <w:gridCol w:w="1080"/>
        <w:gridCol w:w="1692"/>
        <w:gridCol w:w="1740"/>
      </w:tblGrid>
      <w:tr w:rsidR="00D52E19" w:rsidRPr="00D52E19" w:rsidTr="00D52E19">
        <w:trPr>
          <w:trHeight w:val="247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Число</w:t>
            </w:r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очков</w:t>
            </w:r>
            <w:proofErr w:type="gramEnd"/>
          </w:p>
          <w:p w:rsidR="00B37A59" w:rsidRPr="00D52E19" w:rsidRDefault="00B37A5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3.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4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5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6</w:t>
            </w:r>
          </w:p>
          <w:p w:rsidR="00D52E19" w:rsidRPr="00D52E19" w:rsidRDefault="00D52E19" w:rsidP="00D52E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Количество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выпадений,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fфакт</w:t>
            </w:r>
            <w:proofErr w:type="spellEnd"/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101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86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107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94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97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117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fтеор</w:t>
            </w:r>
            <w:proofErr w:type="spellEnd"/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100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</w:t>
            </w:r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факт</w:t>
            </w:r>
            <w:proofErr w:type="spell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</w:t>
            </w:r>
            <w:proofErr w:type="gramEnd"/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fтеор</w:t>
            </w:r>
            <w:proofErr w:type="spellEnd"/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-14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7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-6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-3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17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(</w:t>
            </w: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fфакт</w:t>
            </w:r>
            <w:proofErr w:type="spellEnd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-</w:t>
            </w:r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fтеор</w:t>
            </w:r>
            <w:proofErr w:type="spellEnd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)2</w:t>
            </w:r>
            <w:proofErr w:type="gram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=</w:t>
            </w:r>
            <w:r w:rsidR="004101EE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f</w:t>
            </w:r>
            <w:proofErr w:type="gramEnd"/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теор</w:t>
            </w:r>
            <w:proofErr w:type="spellEnd"/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0,01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1,96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0.49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0,36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0.09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2,89</w:t>
            </w:r>
          </w:p>
          <w:p w:rsidR="00D52E19" w:rsidRPr="00D52E19" w:rsidRDefault="00D52E19" w:rsidP="00B37A5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</w:pPr>
            <w:r w:rsidRPr="00D52E19">
              <w:rPr>
                <w:rFonts w:ascii="Tahoma" w:eastAsia="Times New Roman" w:hAnsi="Tahoma" w:cs="Tahoma"/>
                <w:color w:val="333366"/>
                <w:sz w:val="17"/>
                <w:szCs w:val="17"/>
                <w:lang w:eastAsia="ru-RU"/>
              </w:rPr>
              <w:t>5,80</w:t>
            </w:r>
          </w:p>
        </w:tc>
      </w:tr>
    </w:tbl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</w:p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Табличное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уровне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значимости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0,05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(это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ошибочного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отклонения нулевой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гипотезы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условии,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верна)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6-2=4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степенях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свободы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(фиксировано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2параметра: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сумма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бросков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600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каждого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1/6)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составляет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9,49.Вычисленное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χ2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=5,8,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значительно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ниже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табличного.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Следовательно,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нулевая</w:t>
      </w:r>
      <w:proofErr w:type="gramEnd"/>
      <w:r w:rsidR="004101EE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гипотеза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отклоняется: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бросков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выпавших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очков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нельзя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B37A5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считать неравномерным</w:t>
      </w:r>
      <w:r w:rsidR="00141B52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Обвинение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игроков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против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служащих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казино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подтверждено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достаточнонадежно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доказано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правильная.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назначить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более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дорогую</w:t>
      </w:r>
      <w:r w:rsidR="00B37A5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экспертизу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сделать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100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000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бросков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можно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согласиться,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что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="00B37A59"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вероятность ошибочного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признания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правильности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мала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всего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5%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отклонить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обвинение.</w:t>
      </w:r>
    </w:p>
    <w:bookmarkEnd w:id="0"/>
    <w:p w:rsidR="00D52E19" w:rsidRPr="00D52E19" w:rsidRDefault="00D52E19" w:rsidP="00D52E19">
      <w:pPr>
        <w:shd w:val="clear" w:color="auto" w:fill="F7F7F7"/>
        <w:spacing w:before="100" w:beforeAutospacing="1" w:after="100" w:afterAutospacing="1" w:line="240" w:lineRule="auto"/>
        <w:rPr>
          <w:rFonts w:ascii="Tahoma" w:eastAsia="Times New Roman" w:hAnsi="Tahoma" w:cs="Tahoma"/>
          <w:color w:val="333366"/>
          <w:sz w:val="17"/>
          <w:szCs w:val="17"/>
          <w:lang w:eastAsia="ru-RU"/>
        </w:rPr>
      </w:pP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Выбор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закона</w:t>
      </w:r>
      <w:proofErr w:type="gram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проводится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на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основе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теоретического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анализа.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gram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Кроме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того</w:t>
      </w:r>
      <w:proofErr w:type="gram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,целесообразно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руководствоваться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следующей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рекомендацией: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выражение,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определяющеефункцию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плотности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распределения,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должно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зависеть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возможно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меньшего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числа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параметров.Например</w:t>
      </w:r>
      <w:proofErr w:type="spellEnd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,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экспоненциальное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зависит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одного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параметра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средней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proofErr w:type="spellStart"/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величины;нормальное</w:t>
      </w:r>
      <w:proofErr w:type="spellEnd"/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и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логнормальное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распределение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-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от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двух</w:t>
      </w:r>
      <w:r w:rsidR="004101EE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 xml:space="preserve">  </w:t>
      </w:r>
      <w:r w:rsidRPr="00D52E19">
        <w:rPr>
          <w:rFonts w:ascii="Tahoma" w:eastAsia="Times New Roman" w:hAnsi="Tahoma" w:cs="Tahoma"/>
          <w:color w:val="333366"/>
          <w:sz w:val="17"/>
          <w:szCs w:val="17"/>
          <w:lang w:eastAsia="ru-RU"/>
        </w:rPr>
        <w:t>параметров.</w:t>
      </w:r>
    </w:p>
    <w:p w:rsidR="004B29B5" w:rsidRDefault="00141B52">
      <w:hyperlink r:id="rId14" w:history="1">
        <w:r w:rsidR="00D52E19" w:rsidRPr="00047344">
          <w:rPr>
            <w:rStyle w:val="a3"/>
          </w:rPr>
          <w:t>http://www.stathelp.ru/ots/g7p9.html</w:t>
        </w:r>
      </w:hyperlink>
    </w:p>
    <w:p w:rsidR="00D52E19" w:rsidRDefault="00D52E19"/>
    <w:sectPr w:rsidR="00D5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9"/>
    <w:rsid w:val="00141B52"/>
    <w:rsid w:val="004101EE"/>
    <w:rsid w:val="004B29B5"/>
    <w:rsid w:val="009F6871"/>
    <w:rsid w:val="00B37A59"/>
    <w:rsid w:val="00D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6D51-F265-4F70-8893-AFBE0A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3">
    <w:name w:val="rvps3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D52E19"/>
  </w:style>
  <w:style w:type="character" w:customStyle="1" w:styleId="rvts9">
    <w:name w:val="rvts9"/>
    <w:basedOn w:val="a0"/>
    <w:rsid w:val="00D52E19"/>
  </w:style>
  <w:style w:type="character" w:customStyle="1" w:styleId="apple-converted-space">
    <w:name w:val="apple-converted-space"/>
    <w:basedOn w:val="a0"/>
    <w:rsid w:val="00D52E19"/>
  </w:style>
  <w:style w:type="character" w:customStyle="1" w:styleId="rvts10">
    <w:name w:val="rvts10"/>
    <w:basedOn w:val="a0"/>
    <w:rsid w:val="00D52E19"/>
  </w:style>
  <w:style w:type="character" w:customStyle="1" w:styleId="rvts11">
    <w:name w:val="rvts11"/>
    <w:basedOn w:val="a0"/>
    <w:rsid w:val="00D52E19"/>
  </w:style>
  <w:style w:type="character" w:customStyle="1" w:styleId="rvts12">
    <w:name w:val="rvts12"/>
    <w:basedOn w:val="a0"/>
    <w:rsid w:val="00D52E19"/>
  </w:style>
  <w:style w:type="character" w:customStyle="1" w:styleId="rvts13">
    <w:name w:val="rvts13"/>
    <w:basedOn w:val="a0"/>
    <w:rsid w:val="00D52E19"/>
  </w:style>
  <w:style w:type="character" w:customStyle="1" w:styleId="rvts14">
    <w:name w:val="rvts14"/>
    <w:basedOn w:val="a0"/>
    <w:rsid w:val="00D52E19"/>
  </w:style>
  <w:style w:type="character" w:customStyle="1" w:styleId="rvts15">
    <w:name w:val="rvts15"/>
    <w:basedOn w:val="a0"/>
    <w:rsid w:val="00D52E19"/>
  </w:style>
  <w:style w:type="character" w:customStyle="1" w:styleId="rvts16">
    <w:name w:val="rvts16"/>
    <w:basedOn w:val="a0"/>
    <w:rsid w:val="00D52E19"/>
  </w:style>
  <w:style w:type="character" w:customStyle="1" w:styleId="rvts17">
    <w:name w:val="rvts17"/>
    <w:basedOn w:val="a0"/>
    <w:rsid w:val="00D52E19"/>
  </w:style>
  <w:style w:type="paragraph" w:customStyle="1" w:styleId="rvps4">
    <w:name w:val="rvps4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8">
    <w:name w:val="rvts18"/>
    <w:basedOn w:val="a0"/>
    <w:rsid w:val="00D52E19"/>
  </w:style>
  <w:style w:type="character" w:customStyle="1" w:styleId="rvts19">
    <w:name w:val="rvts19"/>
    <w:basedOn w:val="a0"/>
    <w:rsid w:val="00D52E19"/>
  </w:style>
  <w:style w:type="character" w:customStyle="1" w:styleId="rvts20">
    <w:name w:val="rvts20"/>
    <w:basedOn w:val="a0"/>
    <w:rsid w:val="00D52E19"/>
  </w:style>
  <w:style w:type="character" w:customStyle="1" w:styleId="rvts21">
    <w:name w:val="rvts21"/>
    <w:basedOn w:val="a0"/>
    <w:rsid w:val="00D52E19"/>
  </w:style>
  <w:style w:type="character" w:customStyle="1" w:styleId="rvts22">
    <w:name w:val="rvts22"/>
    <w:basedOn w:val="a0"/>
    <w:rsid w:val="00D52E19"/>
  </w:style>
  <w:style w:type="character" w:customStyle="1" w:styleId="rvts23">
    <w:name w:val="rvts23"/>
    <w:basedOn w:val="a0"/>
    <w:rsid w:val="00D52E19"/>
  </w:style>
  <w:style w:type="character" w:customStyle="1" w:styleId="rvts24">
    <w:name w:val="rvts24"/>
    <w:basedOn w:val="a0"/>
    <w:rsid w:val="00D52E19"/>
  </w:style>
  <w:style w:type="paragraph" w:customStyle="1" w:styleId="rvps5">
    <w:name w:val="rvps5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5">
    <w:name w:val="rvts25"/>
    <w:basedOn w:val="a0"/>
    <w:rsid w:val="00D52E19"/>
  </w:style>
  <w:style w:type="character" w:customStyle="1" w:styleId="rvts26">
    <w:name w:val="rvts26"/>
    <w:basedOn w:val="a0"/>
    <w:rsid w:val="00D52E19"/>
  </w:style>
  <w:style w:type="character" w:customStyle="1" w:styleId="rvts27">
    <w:name w:val="rvts27"/>
    <w:basedOn w:val="a0"/>
    <w:rsid w:val="00D52E19"/>
  </w:style>
  <w:style w:type="character" w:customStyle="1" w:styleId="rvts28">
    <w:name w:val="rvts28"/>
    <w:basedOn w:val="a0"/>
    <w:rsid w:val="00D52E19"/>
  </w:style>
  <w:style w:type="character" w:customStyle="1" w:styleId="rvts29">
    <w:name w:val="rvts29"/>
    <w:basedOn w:val="a0"/>
    <w:rsid w:val="00D52E19"/>
  </w:style>
  <w:style w:type="paragraph" w:customStyle="1" w:styleId="rvps6">
    <w:name w:val="rvps6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D52E19"/>
  </w:style>
  <w:style w:type="character" w:customStyle="1" w:styleId="rvts31">
    <w:name w:val="rvts31"/>
    <w:basedOn w:val="a0"/>
    <w:rsid w:val="00D52E19"/>
  </w:style>
  <w:style w:type="character" w:customStyle="1" w:styleId="rvts32">
    <w:name w:val="rvts32"/>
    <w:basedOn w:val="a0"/>
    <w:rsid w:val="00D52E19"/>
  </w:style>
  <w:style w:type="character" w:customStyle="1" w:styleId="rvts33">
    <w:name w:val="rvts33"/>
    <w:basedOn w:val="a0"/>
    <w:rsid w:val="00D52E19"/>
  </w:style>
  <w:style w:type="character" w:customStyle="1" w:styleId="rvts34">
    <w:name w:val="rvts34"/>
    <w:basedOn w:val="a0"/>
    <w:rsid w:val="00D52E19"/>
  </w:style>
  <w:style w:type="character" w:customStyle="1" w:styleId="rvts35">
    <w:name w:val="rvts35"/>
    <w:basedOn w:val="a0"/>
    <w:rsid w:val="00D52E19"/>
  </w:style>
  <w:style w:type="character" w:customStyle="1" w:styleId="rvts36">
    <w:name w:val="rvts36"/>
    <w:basedOn w:val="a0"/>
    <w:rsid w:val="00D52E19"/>
  </w:style>
  <w:style w:type="character" w:customStyle="1" w:styleId="rvts37">
    <w:name w:val="rvts37"/>
    <w:basedOn w:val="a0"/>
    <w:rsid w:val="00D52E19"/>
  </w:style>
  <w:style w:type="character" w:customStyle="1" w:styleId="rvts38">
    <w:name w:val="rvts38"/>
    <w:basedOn w:val="a0"/>
    <w:rsid w:val="00D52E19"/>
  </w:style>
  <w:style w:type="character" w:customStyle="1" w:styleId="rvts39">
    <w:name w:val="rvts39"/>
    <w:basedOn w:val="a0"/>
    <w:rsid w:val="00D52E19"/>
  </w:style>
  <w:style w:type="character" w:customStyle="1" w:styleId="rvts40">
    <w:name w:val="rvts40"/>
    <w:basedOn w:val="a0"/>
    <w:rsid w:val="00D52E19"/>
  </w:style>
  <w:style w:type="paragraph" w:customStyle="1" w:styleId="rvps10">
    <w:name w:val="rvps10"/>
    <w:basedOn w:val="a"/>
    <w:rsid w:val="00D5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5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stathelp.ru/ots/g7p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5</cp:revision>
  <dcterms:created xsi:type="dcterms:W3CDTF">2015-10-25T15:42:00Z</dcterms:created>
  <dcterms:modified xsi:type="dcterms:W3CDTF">2015-10-26T04:15:00Z</dcterms:modified>
</cp:coreProperties>
</file>